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La Clínica Las Vegas, realiza un presupuesto anual de ingresos, costos y gastos de acuerdo con los lineamientos definidos por la casa matriz para cada año y con un meta de EBITDA, lo que permite cumplir con el plan estratégico que nos habilita para dar continuidad del negocio a largo plazo.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>
            <wp:extent cx="190500" cy="190500"/>
            <wp:effectExtent l="0" t="0" r="0" b="0"/>
            <wp:docPr id="5" name="Imagen 5" descr="https://www.clinicalasvegas.com/wp-content/uploads/2022/09/ho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linicalasvegas.com/wp-content/uploads/2022/09/hoj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Textoennegrita"/>
          <w:rFonts w:ascii="Calibri" w:hAnsi="Calibri" w:cs="Calibri"/>
        </w:rPr>
        <w:t>Año 2019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En la mezcla de ventas de la clínica se puede observar un cambio en la composición, el 2019 la Categoría Premium representó un 34% de la facturación, seguido por Sura EPS con 20%, Nueva EPS con 18%, SOAT con 12%.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Dentro de los gastos y costos se destaca una disminución en los gastos </w:t>
      </w:r>
      <w:r>
        <w:rPr>
          <w:rFonts w:ascii="Calibri" w:hAnsi="Calibri" w:cs="Calibri"/>
        </w:rPr>
        <w:softHyphen/>
        <w:t>financieros de -10.80%. Los costos variables, los costos fi</w:t>
      </w:r>
      <w:r>
        <w:rPr>
          <w:rFonts w:ascii="Calibri" w:hAnsi="Calibri" w:cs="Calibri"/>
        </w:rPr>
        <w:softHyphen/>
        <w:t>jos asistenciales y los gastos de administración tuvieron un seguimiento permanente que permitió tenerlos dentro de lo presupuestado.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Se evidencia un impacto importante en el porcentaje de recaudo vs. la facturación del 103%, comparado con el año 2018 que fue del 93%, mostrando un mejoramiento del 10% durante el año 2019.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>
            <wp:extent cx="190500" cy="190500"/>
            <wp:effectExtent l="0" t="0" r="0" b="0"/>
            <wp:docPr id="4" name="Imagen 4" descr="https://www.clinicalasvegas.com/wp-content/uploads/2022/09/ho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clinicalasvegas.com/wp-content/uploads/2022/09/hoj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Textoennegrita"/>
          <w:rFonts w:ascii="Calibri" w:hAnsi="Calibri" w:cs="Calibri"/>
        </w:rPr>
        <w:t>Año 2020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Con miras a tener unos márgenes al cierre de año en EBITDA y utilidad neta que garantizarán el cumplimiento de al menos el punto de equilibrio de la empresa, que se ha afectado por comportamiento atípico debido a la pandemia por COVID-19. En la mezcla de ventas de la clínica se puede observar un cambio en la composición, el 2020 la Categoría Premium representó un 23% de la facturación, al igual que Sura EPS, Nueva EPS representó un 20% y SOAT el 11%.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>
            <wp:extent cx="190500" cy="190500"/>
            <wp:effectExtent l="0" t="0" r="0" b="0"/>
            <wp:docPr id="3" name="Imagen 3" descr="https://www.clinicalasvegas.com/wp-content/uploads/2022/09/ho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clinicalasvegas.com/wp-content/uploads/2022/09/hoj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Textoennegrita"/>
          <w:rFonts w:ascii="Calibri" w:hAnsi="Calibri" w:cs="Calibri"/>
        </w:rPr>
        <w:t>Año 2021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En la mezcla de ventas de la Clínica se puede observar </w:t>
      </w:r>
      <w:proofErr w:type="gramStart"/>
      <w:r>
        <w:rPr>
          <w:rFonts w:ascii="Calibri" w:hAnsi="Calibri" w:cs="Calibri"/>
        </w:rPr>
        <w:t>que</w:t>
      </w:r>
      <w:proofErr w:type="gramEnd"/>
      <w:r>
        <w:rPr>
          <w:rFonts w:ascii="Calibri" w:hAnsi="Calibri" w:cs="Calibri"/>
        </w:rPr>
        <w:t xml:space="preserve"> a pesar de las situaciones actuales, la Categoría Premium se ha sostenido en el nivel de participación total de la ventas con un 23%; sin embargo, existe una disminución con Coomeva EPS, que pasó de tener el 12% en el año 2020, al 10% en el 2021. EPS Sanitas, pasó del 1% al 7% de las ventas durante este último periodo, sin dejar de mantener un buen comportamiento las entidades más representativas para la Clínica como son Premium, Nueva EPS, SOAT y Sura.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  <w:b/>
          <w:bCs/>
          <w:noProof/>
        </w:rPr>
        <w:lastRenderedPageBreak/>
        <w:drawing>
          <wp:inline distT="0" distB="0" distL="0" distR="0">
            <wp:extent cx="190500" cy="190500"/>
            <wp:effectExtent l="0" t="0" r="0" b="0"/>
            <wp:docPr id="2" name="Imagen 2" descr="https://www.clinicalasvegas.com/wp-content/uploads/2022/09/ho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clinicalasvegas.com/wp-content/uploads/2022/09/hoj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Textoennegrita"/>
          <w:rFonts w:ascii="Calibri" w:hAnsi="Calibri" w:cs="Calibri"/>
        </w:rPr>
        <w:t>Año 2022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Durante el 2022 se tuvo una disminución de la participación en ventas de la categoría Premium en un 3% respecto al año anterior y un incremento en la participación de las ventas de 10% con Nueva EPS.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En el 2022 Nueva EPS tuvo un incremento de 72% en las ventas respecto al año anterior, representando el 31% de todas las ventas realizadas. En caso de plan Premium la meta de ventas se cumplió en un 80% con respecto al presupuesto planteado para 2022 en el cual se esperaba una participación del 25%.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ARL y Sura EPS conservaron la participación que traían en las ventas al comparar con 2021, con incremento en valor absoluto en un 17% para Sura EPS y 26% para ARL con respecto al año anterior.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190500" cy="190500"/>
            <wp:effectExtent l="0" t="0" r="0" b="0"/>
            <wp:docPr id="1" name="Imagen 1" descr="https://www.clinicalasvegas.com/wp-content/uploads/2022/09/ho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clinicalasvegas.com/wp-content/uploads/2022/09/hoj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Textoennegrita"/>
          <w:rFonts w:ascii="Calibri" w:hAnsi="Calibri" w:cs="Calibri"/>
        </w:rPr>
        <w:t>Año 2023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En las cuentas por cobrar en EPS se evidencia un incremento del 4%, las cuentas por pagar incrementaron un 93% con proveedores.</w:t>
      </w:r>
    </w:p>
    <w:p w:rsidR="00676A21" w:rsidRDefault="00676A21" w:rsidP="00676A21">
      <w:pPr>
        <w:pStyle w:val="NormalWeb"/>
        <w:spacing w:before="0" w:beforeAutospacing="0" w:after="45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Los desafíos del sector salud y las variables macroeconómicas nos llevan a enfrentar de una manera responsable y cautelosa el direccionamiento de la institución con decisiones orientadas a garantizar el sostenimiento de la clínica y que, gracias a ellas, en estos dos últimos años hemos podido alcanzar el cumplimiento de los presupuestos trazados.</w:t>
      </w:r>
    </w:p>
    <w:p w:rsidR="0081135E" w:rsidRDefault="0081135E">
      <w:bookmarkStart w:id="0" w:name="_GoBack"/>
      <w:bookmarkEnd w:id="0"/>
    </w:p>
    <w:sectPr w:rsidR="0081135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69B"/>
    <w:rsid w:val="005A369B"/>
    <w:rsid w:val="00676A21"/>
    <w:rsid w:val="0081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8EA340-5FA5-4D07-BBCB-291C9EE3B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6A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676A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51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3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77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79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9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056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225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7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97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93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361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2670</Characters>
  <Application>Microsoft Office Word</Application>
  <DocSecurity>0</DocSecurity>
  <Lines>22</Lines>
  <Paragraphs>6</Paragraphs>
  <ScaleCrop>false</ScaleCrop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Isabel Chacon Arroyave</dc:creator>
  <cp:keywords/>
  <dc:description/>
  <cp:lastModifiedBy>Sara Isabel Chacon Arroyave</cp:lastModifiedBy>
  <cp:revision>2</cp:revision>
  <dcterms:created xsi:type="dcterms:W3CDTF">2025-12-04T13:48:00Z</dcterms:created>
  <dcterms:modified xsi:type="dcterms:W3CDTF">2025-12-04T13:48:00Z</dcterms:modified>
</cp:coreProperties>
</file>